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Default="00F43F13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14:paraId="742403BC" w14:textId="29E2EF34" w:rsidR="002E589C" w:rsidRDefault="00F43F13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13E10C8F" w:rsidR="002E589C" w:rsidRDefault="00F43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gramStart"/>
            <w:r w:rsidR="008E2740">
              <w:rPr>
                <w:rFonts w:ascii="Arial" w:hAnsi="Arial" w:cs="Arial"/>
                <w:b/>
                <w:bCs/>
              </w:rPr>
              <w:t>68  от</w:t>
            </w:r>
            <w:proofErr w:type="gramEnd"/>
            <w:r w:rsidR="008E2740">
              <w:rPr>
                <w:rFonts w:ascii="Arial" w:hAnsi="Arial" w:cs="Arial"/>
                <w:b/>
                <w:bCs/>
              </w:rPr>
              <w:t xml:space="preserve">  27</w:t>
            </w:r>
            <w:r>
              <w:rPr>
                <w:rFonts w:ascii="Arial" w:hAnsi="Arial" w:cs="Arial"/>
                <w:b/>
                <w:bCs/>
              </w:rPr>
              <w:t>.12.2018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77777777" w:rsidR="002E589C" w:rsidRDefault="12FC0057" w:rsidP="12FC0057">
      <w:pPr>
        <w:pStyle w:val="ConsPlusTitle"/>
        <w:tabs>
          <w:tab w:val="left" w:pos="5103"/>
        </w:tabs>
        <w:ind w:right="4252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</w:rPr>
        <w:t>О внесении изменений в Положение о бюджетном процессе в муниципальном образовании «</w:t>
      </w:r>
      <w:proofErr w:type="spellStart"/>
      <w:r w:rsidRPr="12FC0057">
        <w:rPr>
          <w:rFonts w:ascii="Arial" w:hAnsi="Arial" w:cs="Arial"/>
        </w:rPr>
        <w:t>Верхнекетский</w:t>
      </w:r>
      <w:proofErr w:type="spellEnd"/>
      <w:r w:rsidRPr="12FC0057">
        <w:rPr>
          <w:rFonts w:ascii="Arial" w:hAnsi="Arial" w:cs="Arial"/>
        </w:rPr>
        <w:t xml:space="preserve"> район», утверждённое решением Думы </w:t>
      </w:r>
      <w:proofErr w:type="spellStart"/>
      <w:r w:rsidRPr="12FC0057">
        <w:rPr>
          <w:rFonts w:ascii="Arial" w:hAnsi="Arial" w:cs="Arial"/>
        </w:rPr>
        <w:t>Верхнекетского</w:t>
      </w:r>
      <w:proofErr w:type="spellEnd"/>
      <w:r w:rsidRPr="12FC0057">
        <w:rPr>
          <w:rFonts w:ascii="Arial" w:hAnsi="Arial" w:cs="Arial"/>
        </w:rPr>
        <w:t xml:space="preserve"> района от 25.02.2014 №06</w:t>
      </w:r>
    </w:p>
    <w:p w14:paraId="5A39BBE3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  <w:b w:val="0"/>
        </w:rPr>
      </w:pPr>
    </w:p>
    <w:p w14:paraId="0E583C40" w14:textId="77777777" w:rsidR="002E589C" w:rsidRDefault="00F43F13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В целях приведения нормативного правового акта в соответствие с бюджетным законодательством Российской Федерации, </w:t>
      </w:r>
    </w:p>
    <w:p w14:paraId="41C8F396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</w:p>
    <w:p w14:paraId="7110B282" w14:textId="77777777" w:rsidR="002E589C" w:rsidRPr="00F43F13" w:rsidRDefault="12FC0057" w:rsidP="12FC0057">
      <w:pPr>
        <w:shd w:val="clear" w:color="auto" w:fill="FFFFFF"/>
        <w:ind w:firstLine="718"/>
        <w:jc w:val="center"/>
        <w:rPr>
          <w:rFonts w:ascii="Arial" w:hAnsi="Arial" w:cs="Arial"/>
          <w:i/>
          <w:iCs/>
        </w:rPr>
      </w:pPr>
      <w:r w:rsidRPr="00F43F13">
        <w:rPr>
          <w:rFonts w:ascii="Arial" w:hAnsi="Arial" w:cs="Arial"/>
        </w:rPr>
        <w:t xml:space="preserve">Дума </w:t>
      </w:r>
      <w:proofErr w:type="spellStart"/>
      <w:r w:rsidRPr="00F43F13">
        <w:rPr>
          <w:rFonts w:ascii="Arial" w:hAnsi="Arial" w:cs="Arial"/>
        </w:rPr>
        <w:t>Верхнекетского</w:t>
      </w:r>
      <w:proofErr w:type="spellEnd"/>
      <w:r w:rsidRPr="00F43F13">
        <w:rPr>
          <w:rFonts w:ascii="Arial" w:hAnsi="Arial" w:cs="Arial"/>
        </w:rPr>
        <w:t xml:space="preserve"> района</w:t>
      </w:r>
    </w:p>
    <w:p w14:paraId="62DB6691" w14:textId="77777777" w:rsidR="002E589C" w:rsidRDefault="00F43F13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0D0B940D" w14:textId="565431B2" w:rsidR="002E589C" w:rsidRDefault="12FC0057" w:rsidP="00F525A8">
      <w:pPr>
        <w:pStyle w:val="ConsPlusTitle"/>
        <w:widowControl/>
        <w:numPr>
          <w:ilvl w:val="0"/>
          <w:numId w:val="2"/>
        </w:numPr>
        <w:tabs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>Внести в Положение о бюджетном процессе в муниципальном образовании «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Верхнекетский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район», утвержденного решением Думы </w:t>
      </w:r>
      <w:proofErr w:type="spellStart"/>
      <w:r w:rsidRPr="12FC0057">
        <w:rPr>
          <w:rFonts w:ascii="Arial" w:hAnsi="Arial" w:cs="Arial"/>
          <w:b w:val="0"/>
          <w:bCs w:val="0"/>
        </w:rPr>
        <w:t>Верхнекетского</w:t>
      </w:r>
      <w:proofErr w:type="spellEnd"/>
      <w:r w:rsidRPr="12FC0057">
        <w:rPr>
          <w:rFonts w:ascii="Arial" w:hAnsi="Arial" w:cs="Arial"/>
          <w:b w:val="0"/>
          <w:bCs w:val="0"/>
        </w:rPr>
        <w:t xml:space="preserve"> района от 25.02.2014 № 06, следующие изменения:</w:t>
      </w:r>
    </w:p>
    <w:p w14:paraId="78198CFD" w14:textId="254FD7AA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12FC0057">
        <w:rPr>
          <w:rFonts w:ascii="Arial" w:hAnsi="Arial" w:cs="Arial"/>
          <w:b w:val="0"/>
          <w:bCs w:val="0"/>
        </w:rPr>
        <w:t xml:space="preserve">1) статью 6 дополнить </w:t>
      </w:r>
      <w:r w:rsidRPr="00537D81">
        <w:rPr>
          <w:rFonts w:ascii="Arial" w:hAnsi="Arial" w:cs="Arial"/>
          <w:b w:val="0"/>
          <w:bCs w:val="0"/>
        </w:rPr>
        <w:t>пунктами 27.1, 27.2 следующего содержания:</w:t>
      </w:r>
    </w:p>
    <w:p w14:paraId="00715B10" w14:textId="166647A1" w:rsidR="12FC0057" w:rsidRPr="00537D81" w:rsidRDefault="002D4DC6" w:rsidP="00F525A8">
      <w:pPr>
        <w:pStyle w:val="ConsPlusTitle"/>
        <w:spacing w:line="276" w:lineRule="auto"/>
        <w:ind w:firstLine="426"/>
        <w:jc w:val="both"/>
        <w:rPr>
          <w:rFonts w:ascii="Arial" w:eastAsia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«</w:t>
      </w:r>
      <w:r w:rsidR="12FC0057" w:rsidRPr="00537D81">
        <w:rPr>
          <w:rFonts w:ascii="Arial" w:hAnsi="Arial" w:cs="Arial"/>
          <w:b w:val="0"/>
          <w:bCs w:val="0"/>
        </w:rPr>
        <w:t>27.1) в</w:t>
      </w:r>
      <w:r w:rsidR="12FC0057" w:rsidRPr="00537D81">
        <w:rPr>
          <w:rFonts w:ascii="Arial" w:eastAsia="Arial" w:hAnsi="Arial" w:cs="Arial"/>
          <w:b w:val="0"/>
          <w:bCs w:val="0"/>
        </w:rPr>
        <w:t xml:space="preserve"> целях реализации муниципальным </w:t>
      </w:r>
      <w:r w:rsidRPr="00537D81">
        <w:rPr>
          <w:rFonts w:ascii="Arial" w:eastAsia="Arial" w:hAnsi="Arial" w:cs="Arial"/>
          <w:b w:val="0"/>
          <w:bCs w:val="0"/>
        </w:rPr>
        <w:t>районом</w:t>
      </w:r>
      <w:r w:rsidR="12FC0057" w:rsidRPr="00537D81">
        <w:rPr>
          <w:rFonts w:ascii="Arial" w:eastAsia="Arial" w:hAnsi="Arial" w:cs="Arial"/>
          <w:b w:val="0"/>
          <w:bCs w:val="0"/>
        </w:rPr>
        <w:t xml:space="preserve"> права регресса, установленного пунктом 3.1 статьи 1081 Гражданского кодекса Российской Федерации, уведомляет соответствующего главного распорядителя средств бюджета муниципального </w:t>
      </w:r>
      <w:r w:rsidRPr="00537D81">
        <w:rPr>
          <w:rFonts w:ascii="Arial" w:eastAsia="Arial" w:hAnsi="Arial" w:cs="Arial"/>
          <w:b w:val="0"/>
          <w:bCs w:val="0"/>
        </w:rPr>
        <w:t>района</w:t>
      </w:r>
      <w:r w:rsidR="12FC0057" w:rsidRPr="00537D81">
        <w:rPr>
          <w:rFonts w:ascii="Arial" w:eastAsia="Arial" w:hAnsi="Arial" w:cs="Arial"/>
          <w:b w:val="0"/>
          <w:bCs w:val="0"/>
        </w:rPr>
        <w:t xml:space="preserve"> об исполнении за счет казны муниципального район</w:t>
      </w:r>
      <w:r w:rsidRPr="00537D81">
        <w:rPr>
          <w:rFonts w:ascii="Arial" w:eastAsia="Arial" w:hAnsi="Arial" w:cs="Arial"/>
          <w:b w:val="0"/>
          <w:bCs w:val="0"/>
        </w:rPr>
        <w:t>а</w:t>
      </w:r>
      <w:r w:rsidR="12FC0057" w:rsidRPr="00537D81">
        <w:rPr>
          <w:rFonts w:ascii="Arial" w:eastAsia="Arial" w:hAnsi="Arial" w:cs="Arial"/>
          <w:b w:val="0"/>
          <w:bCs w:val="0"/>
        </w:rPr>
        <w:t xml:space="preserve"> судебного акта о возмещении вреда;</w:t>
      </w:r>
    </w:p>
    <w:p w14:paraId="41D5E1EB" w14:textId="0F97B18D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eastAsia="Arial" w:hAnsi="Arial" w:cs="Arial"/>
          <w:b w:val="0"/>
          <w:bCs w:val="0"/>
        </w:rPr>
      </w:pPr>
      <w:r w:rsidRPr="00537D81">
        <w:rPr>
          <w:rFonts w:ascii="Arial" w:eastAsia="Arial" w:hAnsi="Arial" w:cs="Arial"/>
          <w:b w:val="0"/>
          <w:bCs w:val="0"/>
        </w:rPr>
        <w:t>27.2) в случае, если исполнительный документ предусматривает индексацию присужденной суммы либо иные виды расчетов, производит расчеты средств на выплаты по исполнительному документу в порядке, предусмотренном законодательством Российской</w:t>
      </w:r>
      <w:r w:rsidR="002D4DC6" w:rsidRPr="00537D81">
        <w:rPr>
          <w:rFonts w:ascii="Arial" w:eastAsia="Arial" w:hAnsi="Arial" w:cs="Arial"/>
          <w:b w:val="0"/>
          <w:bCs w:val="0"/>
        </w:rPr>
        <w:t xml:space="preserve"> Федерации или судебным актом;»;</w:t>
      </w:r>
    </w:p>
    <w:p w14:paraId="1F496491" w14:textId="54FBD8C3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2) в статье 9:</w:t>
      </w:r>
    </w:p>
    <w:p w14:paraId="6CD75369" w14:textId="56729597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а) пункт 2 дополнить подпунктом 3 следующего содержания:</w:t>
      </w:r>
    </w:p>
    <w:p w14:paraId="417E0C6D" w14:textId="014F844E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«3) по иным искам к муниципальному район</w:t>
      </w:r>
      <w:r w:rsidR="00EB66DB" w:rsidRPr="00537D81">
        <w:rPr>
          <w:rFonts w:ascii="Arial" w:hAnsi="Arial" w:cs="Arial"/>
          <w:b w:val="0"/>
          <w:bCs w:val="0"/>
        </w:rPr>
        <w:t>у</w:t>
      </w:r>
      <w:r w:rsidRPr="00537D81">
        <w:rPr>
          <w:rFonts w:ascii="Arial" w:hAnsi="Arial" w:cs="Arial"/>
          <w:b w:val="0"/>
          <w:bCs w:val="0"/>
        </w:rPr>
        <w:t xml:space="preserve">, по которым в соответствии с федеральным законом интересы муниципального </w:t>
      </w:r>
      <w:r w:rsidR="00EB66DB" w:rsidRPr="00537D81">
        <w:rPr>
          <w:rFonts w:ascii="Arial" w:hAnsi="Arial" w:cs="Arial"/>
          <w:b w:val="0"/>
          <w:bCs w:val="0"/>
        </w:rPr>
        <w:t>района</w:t>
      </w:r>
      <w:r w:rsidRPr="00537D81">
        <w:rPr>
          <w:rFonts w:ascii="Arial" w:hAnsi="Arial" w:cs="Arial"/>
          <w:b w:val="0"/>
          <w:bCs w:val="0"/>
        </w:rPr>
        <w:t xml:space="preserve">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район</w:t>
      </w:r>
      <w:r w:rsidR="00EB66DB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>»;</w:t>
      </w:r>
    </w:p>
    <w:p w14:paraId="12715A0D" w14:textId="24EF3C3D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б) дополнить пунктом 5 следующего содержания:</w:t>
      </w:r>
    </w:p>
    <w:p w14:paraId="5BAF2DC1" w14:textId="314E49CD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“5) Главный распорядитель средств бюджета муниципального район</w:t>
      </w:r>
      <w:r w:rsidR="006233E8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 xml:space="preserve"> выступает в суде от имени муниципального район</w:t>
      </w:r>
      <w:r w:rsidR="006233E8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 xml:space="preserve"> в качестве представителя истца по искам о взыскании денежных средств в порядке регресса в соответствии с </w:t>
      </w:r>
      <w:hyperlink r:id="rId6">
        <w:r w:rsidRPr="00537D81">
          <w:rPr>
            <w:rStyle w:val="InternetLink"/>
            <w:rFonts w:ascii="Arial" w:hAnsi="Arial" w:cs="Arial"/>
            <w:b w:val="0"/>
            <w:bCs w:val="0"/>
            <w:color w:val="auto"/>
          </w:rPr>
          <w:t>пунктом 3.1 статьи 1081</w:t>
        </w:r>
      </w:hyperlink>
      <w:r w:rsidRPr="00537D81">
        <w:rPr>
          <w:rFonts w:ascii="Arial" w:hAnsi="Arial" w:cs="Arial"/>
          <w:b w:val="0"/>
          <w:bCs w:val="0"/>
        </w:rPr>
        <w:t xml:space="preserve"> Гражданского кодекса Российской Федерации к лицам, чьи действия (бездействие) повлекли возмещение вреда за счет казны </w:t>
      </w:r>
      <w:r w:rsidRPr="00537D81">
        <w:rPr>
          <w:rFonts w:ascii="Arial" w:hAnsi="Arial" w:cs="Arial"/>
          <w:b w:val="0"/>
          <w:bCs w:val="0"/>
        </w:rPr>
        <w:lastRenderedPageBreak/>
        <w:t>муниципального район</w:t>
      </w:r>
      <w:r w:rsidR="006233E8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>.</w:t>
      </w:r>
    </w:p>
    <w:p w14:paraId="5F1E2E68" w14:textId="287830D0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Главный распорядитель средств бюджета муниципального район</w:t>
      </w:r>
      <w:r w:rsidR="006233E8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>, представлявший в суде интересы муниципального район</w:t>
      </w:r>
      <w:r w:rsidR="006233E8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 xml:space="preserve"> в соответствии с </w:t>
      </w:r>
      <w:hyperlink r:id="rId7">
        <w:r w:rsidRPr="00537D81">
          <w:rPr>
            <w:rStyle w:val="InternetLink"/>
            <w:rFonts w:ascii="Arial" w:hAnsi="Arial" w:cs="Arial"/>
            <w:b w:val="0"/>
            <w:bCs w:val="0"/>
            <w:color w:val="auto"/>
          </w:rPr>
          <w:t>пунктом 3 статьи 158</w:t>
        </w:r>
      </w:hyperlink>
      <w:r w:rsidRPr="00537D81">
        <w:rPr>
          <w:rFonts w:ascii="Arial" w:hAnsi="Arial" w:cs="Arial"/>
          <w:b w:val="0"/>
          <w:bCs w:val="0"/>
        </w:rPr>
        <w:t xml:space="preserve"> Бюджетного кодекса Российской Федерации, обязан в течение 10 дней после вынесения (принятия) судебного акта в окончательной форме в порядке, установленном Управлением финансов, направить в Управление финансов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14:paraId="707F259A" w14:textId="6FFE10AE" w:rsidR="12FC0057" w:rsidRPr="00537D81" w:rsidRDefault="12FC0057" w:rsidP="00F525A8">
      <w:pPr>
        <w:pStyle w:val="ConsPlusTitle"/>
        <w:spacing w:line="276" w:lineRule="auto"/>
        <w:ind w:firstLine="426"/>
        <w:jc w:val="both"/>
        <w:rPr>
          <w:rFonts w:ascii="Arial" w:hAnsi="Arial" w:cs="Arial"/>
          <w:b w:val="0"/>
          <w:bCs w:val="0"/>
        </w:rPr>
      </w:pPr>
      <w:r w:rsidRPr="00537D81">
        <w:rPr>
          <w:rFonts w:ascii="Arial" w:hAnsi="Arial" w:cs="Arial"/>
          <w:b w:val="0"/>
          <w:bCs w:val="0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район</w:t>
      </w:r>
      <w:r w:rsidR="00F43F13" w:rsidRPr="00537D81">
        <w:rPr>
          <w:rFonts w:ascii="Arial" w:hAnsi="Arial" w:cs="Arial"/>
          <w:b w:val="0"/>
          <w:bCs w:val="0"/>
        </w:rPr>
        <w:t>а</w:t>
      </w:r>
      <w:r w:rsidRPr="00537D81">
        <w:rPr>
          <w:rFonts w:ascii="Arial" w:hAnsi="Arial" w:cs="Arial"/>
          <w:b w:val="0"/>
          <w:bCs w:val="0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Управлением финансов, представить в Управление финансов информацию о результатах обжалования судебного акта.</w:t>
      </w:r>
      <w:r w:rsidR="00F43F13" w:rsidRPr="00537D81">
        <w:rPr>
          <w:rFonts w:ascii="Arial" w:hAnsi="Arial" w:cs="Arial"/>
          <w:b w:val="0"/>
          <w:bCs w:val="0"/>
        </w:rPr>
        <w:t>»</w:t>
      </w:r>
      <w:r w:rsidRPr="00537D81">
        <w:rPr>
          <w:rFonts w:ascii="Arial" w:hAnsi="Arial" w:cs="Arial"/>
          <w:b w:val="0"/>
          <w:bCs w:val="0"/>
        </w:rPr>
        <w:t>.</w:t>
      </w:r>
    </w:p>
    <w:p w14:paraId="12022B32" w14:textId="77777777" w:rsidR="002E589C" w:rsidRDefault="12FC0057" w:rsidP="00F525A8">
      <w:pPr>
        <w:pStyle w:val="10"/>
        <w:spacing w:line="276" w:lineRule="auto"/>
        <w:ind w:firstLine="567"/>
        <w:jc w:val="both"/>
        <w:rPr>
          <w:rFonts w:ascii="Arial" w:hAnsi="Arial" w:cs="Arial"/>
          <w:b/>
          <w:bCs/>
        </w:rPr>
      </w:pPr>
      <w:r w:rsidRPr="00537D81">
        <w:rPr>
          <w:rFonts w:ascii="Arial" w:hAnsi="Arial" w:cs="Arial"/>
          <w:sz w:val="24"/>
          <w:szCs w:val="24"/>
        </w:rPr>
        <w:t>2. Настоящее решение вступает в силу со дня его</w:t>
      </w:r>
      <w:r w:rsidRPr="12FC0057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</w:t>
      </w:r>
      <w:proofErr w:type="spellStart"/>
      <w:r w:rsidRPr="12FC005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12FC0057">
        <w:rPr>
          <w:rFonts w:ascii="Arial" w:hAnsi="Arial" w:cs="Arial"/>
          <w:sz w:val="24"/>
          <w:szCs w:val="24"/>
        </w:rPr>
        <w:t xml:space="preserve"> района «Территория». Разместить настоящее решение на официальном сайте Администрации </w:t>
      </w:r>
      <w:proofErr w:type="spellStart"/>
      <w:r w:rsidRPr="12FC005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12FC0057">
        <w:rPr>
          <w:rFonts w:ascii="Arial" w:hAnsi="Arial" w:cs="Arial"/>
          <w:sz w:val="24"/>
          <w:szCs w:val="24"/>
        </w:rPr>
        <w:t xml:space="preserve"> района.</w:t>
      </w:r>
    </w:p>
    <w:p w14:paraId="44EAFD9C" w14:textId="77777777" w:rsidR="002E589C" w:rsidRDefault="002E589C">
      <w:pPr>
        <w:jc w:val="both"/>
        <w:rPr>
          <w:rFonts w:ascii="Arial" w:hAnsi="Arial" w:cs="Arial"/>
          <w:b/>
        </w:rPr>
      </w:pPr>
    </w:p>
    <w:p w14:paraId="00D2D269" w14:textId="77777777" w:rsidR="00F43F13" w:rsidRDefault="00F43F13">
      <w:pPr>
        <w:jc w:val="both"/>
        <w:rPr>
          <w:rFonts w:ascii="Arial" w:hAnsi="Arial" w:cs="Arial"/>
          <w:b/>
        </w:rPr>
      </w:pPr>
    </w:p>
    <w:p w14:paraId="32DEA88A" w14:textId="77777777" w:rsidR="00F43F13" w:rsidRDefault="00F43F13">
      <w:pPr>
        <w:jc w:val="both"/>
        <w:rPr>
          <w:rFonts w:ascii="Arial" w:hAnsi="Arial" w:cs="Arial"/>
          <w:b/>
        </w:rPr>
      </w:pPr>
    </w:p>
    <w:p w14:paraId="25179EE9" w14:textId="0CAA0ED8" w:rsidR="002E589C" w:rsidRDefault="00F43F13" w:rsidP="12FC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 xml:space="preserve">       </w:t>
      </w:r>
      <w:r w:rsidR="000C0B24">
        <w:rPr>
          <w:rFonts w:ascii="Arial" w:hAnsi="Arial" w:cs="Arial"/>
        </w:rPr>
        <w:t xml:space="preserve">                           </w:t>
      </w:r>
      <w:r w:rsidR="00C01EB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Глава</w:t>
      </w:r>
    </w:p>
    <w:p w14:paraId="3320DBA1" w14:textId="73083EA5" w:rsidR="002E589C" w:rsidRDefault="00F43F13">
      <w:pPr>
        <w:jc w:val="both"/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  <w:t xml:space="preserve">                                  </w:t>
      </w:r>
      <w:r w:rsidR="00C01EB4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  района</w:t>
      </w:r>
    </w:p>
    <w:p w14:paraId="3DEEC669" w14:textId="77777777" w:rsidR="002E589C" w:rsidRDefault="002E589C">
      <w:pPr>
        <w:jc w:val="both"/>
        <w:rPr>
          <w:rFonts w:ascii="Arial" w:hAnsi="Arial" w:cs="Arial"/>
        </w:rPr>
      </w:pPr>
    </w:p>
    <w:p w14:paraId="2705978A" w14:textId="399EE8D4" w:rsidR="002E589C" w:rsidRDefault="00F43F13" w:rsidP="12FC0057">
      <w:pPr>
        <w:rPr>
          <w:rFonts w:ascii="Arial" w:hAnsi="Arial" w:cs="Arial"/>
          <w:b/>
          <w:bCs/>
        </w:rPr>
      </w:pPr>
      <w:r w:rsidRPr="12FC0057">
        <w:t xml:space="preserve"> ___________ </w:t>
      </w:r>
      <w:proofErr w:type="spellStart"/>
      <w:r w:rsidRPr="12FC0057">
        <w:rPr>
          <w:rFonts w:ascii="Arial" w:hAnsi="Arial" w:cs="Arial"/>
          <w:b/>
          <w:bCs/>
        </w:rPr>
        <w:t>П.П.Красноперов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 w:rsidR="000C0B24">
        <w:rPr>
          <w:b/>
          <w:bCs/>
          <w:i/>
          <w:iCs/>
        </w:rPr>
        <w:t xml:space="preserve">              </w:t>
      </w:r>
      <w:r w:rsidR="00C01EB4">
        <w:rPr>
          <w:b/>
          <w:bCs/>
          <w:i/>
          <w:iCs/>
        </w:rPr>
        <w:t xml:space="preserve">        </w:t>
      </w:r>
      <w:r w:rsidRPr="12FC0057">
        <w:rPr>
          <w:b/>
          <w:bCs/>
          <w:i/>
          <w:iCs/>
        </w:rPr>
        <w:t xml:space="preserve"> ___________</w:t>
      </w:r>
      <w:proofErr w:type="spellStart"/>
      <w:r w:rsidRPr="12FC0057">
        <w:rPr>
          <w:rFonts w:ascii="Arial" w:hAnsi="Arial" w:cs="Arial"/>
          <w:b/>
          <w:bCs/>
        </w:rPr>
        <w:t>А.Н.Сидихин</w:t>
      </w:r>
      <w:proofErr w:type="spellEnd"/>
    </w:p>
    <w:p w14:paraId="3656B9AB" w14:textId="1E583967" w:rsidR="002E589C" w:rsidRDefault="00C01EB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45FB0818" w14:textId="77777777" w:rsidR="002E589C" w:rsidRDefault="002E589C">
      <w:pPr>
        <w:rPr>
          <w:b/>
          <w:i/>
        </w:rPr>
      </w:pPr>
    </w:p>
    <w:p w14:paraId="049F31CB" w14:textId="77777777" w:rsidR="002E589C" w:rsidRDefault="002E589C">
      <w:pPr>
        <w:rPr>
          <w:b/>
          <w:i/>
        </w:rPr>
      </w:pPr>
    </w:p>
    <w:p w14:paraId="53128261" w14:textId="77777777" w:rsidR="002E589C" w:rsidRDefault="002E589C">
      <w:pPr>
        <w:rPr>
          <w:b/>
          <w:i/>
        </w:rPr>
      </w:pPr>
    </w:p>
    <w:p w14:paraId="62486C05" w14:textId="77777777" w:rsidR="002E589C" w:rsidRDefault="002E589C">
      <w:pPr>
        <w:rPr>
          <w:b/>
          <w:i/>
        </w:rPr>
      </w:pPr>
    </w:p>
    <w:p w14:paraId="4101652C" w14:textId="77777777" w:rsidR="002E589C" w:rsidRDefault="002E589C">
      <w:pPr>
        <w:rPr>
          <w:b/>
          <w:i/>
        </w:rPr>
      </w:pPr>
    </w:p>
    <w:p w14:paraId="4B99056E" w14:textId="77777777" w:rsidR="002E589C" w:rsidRDefault="002E589C">
      <w:pPr>
        <w:rPr>
          <w:b/>
          <w:i/>
        </w:rPr>
      </w:pPr>
    </w:p>
    <w:p w14:paraId="1299C43A" w14:textId="77777777" w:rsidR="002E589C" w:rsidRDefault="002E589C">
      <w:pPr>
        <w:rPr>
          <w:b/>
          <w:i/>
        </w:rPr>
      </w:pPr>
    </w:p>
    <w:p w14:paraId="4DDBEF00" w14:textId="77777777" w:rsidR="002E589C" w:rsidRDefault="002E589C">
      <w:pPr>
        <w:rPr>
          <w:b/>
          <w:i/>
        </w:rPr>
      </w:pPr>
    </w:p>
    <w:p w14:paraId="3461D779" w14:textId="77777777" w:rsidR="002E589C" w:rsidRDefault="002E589C">
      <w:pPr>
        <w:rPr>
          <w:b/>
          <w:i/>
        </w:rPr>
      </w:pPr>
    </w:p>
    <w:p w14:paraId="3CF2D8B6" w14:textId="77777777" w:rsidR="002E589C" w:rsidRDefault="002E589C">
      <w:pPr>
        <w:rPr>
          <w:b/>
          <w:i/>
        </w:rPr>
      </w:pPr>
    </w:p>
    <w:p w14:paraId="0FB78278" w14:textId="77777777" w:rsidR="002E589C" w:rsidRDefault="002E589C">
      <w:pPr>
        <w:rPr>
          <w:b/>
          <w:i/>
        </w:rPr>
      </w:pPr>
    </w:p>
    <w:p w14:paraId="1FC39945" w14:textId="77777777" w:rsidR="002E589C" w:rsidRDefault="002E589C">
      <w:pPr>
        <w:rPr>
          <w:b/>
          <w:i/>
        </w:rPr>
      </w:pPr>
    </w:p>
    <w:p w14:paraId="0562CB0E" w14:textId="77777777" w:rsidR="002E589C" w:rsidRDefault="002E589C">
      <w:pPr>
        <w:rPr>
          <w:b/>
          <w:i/>
        </w:rPr>
      </w:pPr>
    </w:p>
    <w:p w14:paraId="34CE0A41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  <w:bookmarkStart w:id="0" w:name="_GoBack"/>
      <w:bookmarkEnd w:id="0"/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77777777" w:rsidR="002E589C" w:rsidRDefault="00F43F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прокуратура. -1, Управление финансов-1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2FC0057"/>
    <w:rsid w:val="000C0B24"/>
    <w:rsid w:val="000F54FD"/>
    <w:rsid w:val="002D4DC6"/>
    <w:rsid w:val="002E589C"/>
    <w:rsid w:val="00537D81"/>
    <w:rsid w:val="006233E8"/>
    <w:rsid w:val="008808D8"/>
    <w:rsid w:val="008E2740"/>
    <w:rsid w:val="00C01EB4"/>
    <w:rsid w:val="00EB66DB"/>
    <w:rsid w:val="00F372B6"/>
    <w:rsid w:val="00F43F13"/>
    <w:rsid w:val="00F525A8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6DDDA187-F1DA-489D-981D-06D470FF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://offline/ref=FCF5E5CDD2F545F43314C4F3F609A470A5D067A65AF3461BD3A9931C5A9EC88C34F4C3CDE20CK4y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://offline/ref=EB9A83E8A92BCDEEEBF8ABB5F07D4CE2599F678494DB01EB28DFC1087AA429DF39D4223409I73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24</cp:revision>
  <cp:lastPrinted>2018-12-27T09:13:00Z</cp:lastPrinted>
  <dcterms:created xsi:type="dcterms:W3CDTF">2018-12-11T05:00:00Z</dcterms:created>
  <dcterms:modified xsi:type="dcterms:W3CDTF">2018-12-27T09:13:00Z</dcterms:modified>
  <dc:language>en-US</dc:language>
</cp:coreProperties>
</file>